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4DC2F" w14:textId="6A5215EE" w:rsidR="006D54A3" w:rsidRDefault="00655D6D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NAPPES GRILLAGÉES DE PROTECTION INCENDIE</w:t>
      </w:r>
    </w:p>
    <w:p w14:paraId="05B8C7E8" w14:textId="1162A506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KNAUF INSULATION FIRE-TEK WM 908 GGA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Type d’isolation :</w:t>
      </w:r>
    </w:p>
    <w:p w14:paraId="57D4F427" w14:textId="22026C79" w:rsidR="00B93A6E" w:rsidRPr="00826D99" w:rsidRDefault="00AF40ED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sz w:val="20"/>
          <w:szCs w:val="20"/>
        </w:rPr>
        <w:t>Nappe grillagée en laine minérale pour la protection incendie et l’isolation thermique des conduits d’aération ronds.</w:t>
      </w:r>
    </w:p>
    <w:p w14:paraId="1FA769CA" w14:textId="7B83B5E5" w:rsidR="00B93A6E" w:rsidRPr="00826D99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Nappe grillagée certifiée et marquée CE selon la norme EN 14303.</w:t>
      </w:r>
    </w:p>
    <w:p w14:paraId="74923A41" w14:textId="77777777" w:rsidR="00B93A6E" w:rsidRPr="00826D99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28D1C195" w14:textId="77777777" w:rsidR="00B93A6E" w:rsidRPr="00826D99" w:rsidRDefault="00B93A6E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Revêtement :</w:t>
      </w:r>
    </w:p>
    <w:p w14:paraId="3F35DF00" w14:textId="448770FD" w:rsidR="009E29D8" w:rsidRPr="00826D99" w:rsidRDefault="009E29D8" w:rsidP="009E29D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Nappe grillagée incluant un film en aluminium inséré entre la laine minérale et le treillis métallique.</w:t>
      </w:r>
    </w:p>
    <w:p w14:paraId="12AD4D9F" w14:textId="77777777" w:rsidR="00B93A6E" w:rsidRPr="00C72716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s-ES"/>
        </w:rPr>
      </w:pPr>
    </w:p>
    <w:p w14:paraId="1D87760D" w14:textId="77777777" w:rsidR="00B93A6E" w:rsidRPr="00826D99" w:rsidRDefault="00B93A6E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Description :</w:t>
      </w:r>
    </w:p>
    <w:p w14:paraId="0833F925" w14:textId="0ACAB1FC" w:rsidR="00882E60" w:rsidRPr="00826D99" w:rsidRDefault="00882E60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Nappe grillagée en laine minérale piquée de fil galvanisé sur treillis métallique galvanisé incluant un film en aluminium inséré entre la laine minérale et le treillis métallique. </w:t>
      </w:r>
      <w:r>
        <w:rPr>
          <w:rFonts w:ascii="Arial" w:hAnsi="Arial"/>
          <w:sz w:val="20"/>
          <w:szCs w:val="20"/>
        </w:rPr>
        <w:t xml:space="preserve">Nappe grillagée en laine minérale incluant un liant majoritairement issu de matériaux d’origine naturelle (tel que le liant </w:t>
      </w:r>
      <w:proofErr w:type="spellStart"/>
      <w:r>
        <w:rPr>
          <w:rFonts w:ascii="Arial" w:hAnsi="Arial"/>
          <w:sz w:val="20"/>
          <w:szCs w:val="20"/>
        </w:rPr>
        <w:t>Ecose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Technology</w:t>
      </w:r>
      <w:proofErr w:type="spellEnd"/>
      <w:r>
        <w:rPr>
          <w:rFonts w:ascii="Arial" w:hAnsi="Arial"/>
          <w:sz w:val="20"/>
          <w:szCs w:val="20"/>
        </w:rPr>
        <w:t xml:space="preserve"> sans formaldéhyde ajouté) et certifiée conforme aux normes de qualité </w:t>
      </w:r>
      <w:proofErr w:type="spellStart"/>
      <w:r>
        <w:rPr>
          <w:rFonts w:ascii="Arial" w:hAnsi="Arial"/>
          <w:sz w:val="20"/>
          <w:szCs w:val="20"/>
        </w:rPr>
        <w:t>Eurofins</w:t>
      </w:r>
      <w:proofErr w:type="spellEnd"/>
      <w:r>
        <w:rPr>
          <w:rFonts w:ascii="Arial" w:hAnsi="Arial"/>
          <w:sz w:val="20"/>
          <w:szCs w:val="20"/>
        </w:rPr>
        <w:t xml:space="preserve"> Gold Indoor Air </w:t>
      </w:r>
      <w:proofErr w:type="spellStart"/>
      <w:r>
        <w:rPr>
          <w:rFonts w:ascii="Arial" w:hAnsi="Arial"/>
          <w:sz w:val="20"/>
          <w:szCs w:val="20"/>
        </w:rPr>
        <w:t>Comfort</w:t>
      </w:r>
      <w:proofErr w:type="spellEnd"/>
      <w:r>
        <w:rPr>
          <w:rFonts w:ascii="Arial" w:hAnsi="Arial"/>
          <w:sz w:val="20"/>
          <w:szCs w:val="20"/>
        </w:rPr>
        <w:t xml:space="preserve"> ou équivalent.</w:t>
      </w:r>
    </w:p>
    <w:p w14:paraId="4A3FBD17" w14:textId="77777777" w:rsidR="009E29D8" w:rsidRPr="00C72716" w:rsidRDefault="009E29D8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3BEC94B" w14:textId="2CBE7081" w:rsidR="00E607E2" w:rsidRPr="00826D99" w:rsidRDefault="006D54A3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Principales caractéristiques :</w:t>
      </w:r>
    </w:p>
    <w:p w14:paraId="28DCEAB6" w14:textId="77777777" w:rsidR="00655D6D" w:rsidRDefault="00655D6D" w:rsidP="00655D6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1. </w:t>
      </w:r>
      <w:proofErr w:type="spellStart"/>
      <w:r>
        <w:rPr>
          <w:rFonts w:ascii="Arial" w:hAnsi="Arial"/>
          <w:color w:val="auto"/>
          <w:sz w:val="20"/>
          <w:szCs w:val="20"/>
        </w:rPr>
        <w:t>Eurofins</w:t>
      </w:r>
      <w:proofErr w:type="spellEnd"/>
    </w:p>
    <w:p w14:paraId="3E250748" w14:textId="77777777" w:rsidR="00655D6D" w:rsidRDefault="00655D6D" w:rsidP="00655D6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Certification Indoor Air </w:t>
      </w:r>
      <w:proofErr w:type="spellStart"/>
      <w:r>
        <w:rPr>
          <w:rFonts w:ascii="Arial" w:hAnsi="Arial"/>
          <w:color w:val="auto"/>
          <w:sz w:val="20"/>
          <w:szCs w:val="20"/>
        </w:rPr>
        <w:t>Comfort</w:t>
      </w:r>
      <w:proofErr w:type="spellEnd"/>
      <w:r>
        <w:rPr>
          <w:rFonts w:ascii="Arial" w:hAnsi="Arial"/>
          <w:color w:val="auto"/>
          <w:sz w:val="20"/>
          <w:szCs w:val="20"/>
        </w:rPr>
        <w:t xml:space="preserve"> Gold</w:t>
      </w:r>
    </w:p>
    <w:p w14:paraId="38B533F5" w14:textId="77777777" w:rsidR="00655D6D" w:rsidRDefault="00655D6D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6D7F3D" w14:textId="06A1F718" w:rsidR="00E607E2" w:rsidRPr="00826D99" w:rsidRDefault="00655D6D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2. Protection incendie</w:t>
      </w:r>
    </w:p>
    <w:p w14:paraId="411B60F6" w14:textId="65CAF537" w:rsidR="00E607E2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vertAlign w:val="subscript"/>
        </w:rPr>
      </w:pPr>
      <w:r>
        <w:rPr>
          <w:rFonts w:ascii="Arial" w:hAnsi="Arial"/>
          <w:color w:val="auto"/>
          <w:sz w:val="20"/>
          <w:szCs w:val="20"/>
        </w:rPr>
        <w:t>Nappe grillagée incombustible, classement de résistance au feu A1 selon la norme EN 13501-1.</w:t>
      </w:r>
    </w:p>
    <w:p w14:paraId="386921D1" w14:textId="230D43C6" w:rsidR="00655D6D" w:rsidRPr="00590555" w:rsidRDefault="00655D6D" w:rsidP="00C86731">
      <w:pPr>
        <w:autoSpaceDE w:val="0"/>
        <w:autoSpaceDN w:val="0"/>
        <w:adjustRightInd w:val="0"/>
        <w:jc w:val="both"/>
        <w:rPr>
          <w:rFonts w:ascii="FuturaBT-Light" w:hAnsi="FuturaBT-Light" w:cs="FuturaBT-Light"/>
          <w:sz w:val="14"/>
          <w:szCs w:val="14"/>
        </w:rPr>
      </w:pPr>
      <w:r>
        <w:rPr>
          <w:rFonts w:ascii="Arial" w:hAnsi="Arial"/>
          <w:sz w:val="20"/>
          <w:szCs w:val="20"/>
        </w:rPr>
        <w:t>Classe de résistance au feu des conduits d’aération ronds selon la norme EN 13501-3 : El 30 (</w:t>
      </w:r>
      <w:proofErr w:type="spellStart"/>
      <w:r>
        <w:rPr>
          <w:rFonts w:ascii="Arial" w:hAnsi="Arial"/>
          <w:sz w:val="20"/>
          <w:szCs w:val="20"/>
        </w:rPr>
        <w:t>ve</w:t>
      </w:r>
      <w:proofErr w:type="spellEnd"/>
      <w:r>
        <w:rPr>
          <w:rFonts w:ascii="Arial" w:hAnsi="Arial"/>
          <w:sz w:val="20"/>
          <w:szCs w:val="20"/>
        </w:rPr>
        <w:t xml:space="preserve"> ho </w:t>
      </w:r>
      <w:proofErr w:type="spellStart"/>
      <w:r>
        <w:rPr>
          <w:rFonts w:ascii="Arial" w:hAnsi="Arial"/>
          <w:sz w:val="20"/>
          <w:szCs w:val="20"/>
        </w:rPr>
        <w:t>i↔</w:t>
      </w:r>
      <w:proofErr w:type="gramStart"/>
      <w:r>
        <w:rPr>
          <w:rFonts w:ascii="Arial" w:hAnsi="Arial"/>
          <w:sz w:val="20"/>
          <w:szCs w:val="20"/>
        </w:rPr>
        <w:t>o</w:t>
      </w:r>
      <w:proofErr w:type="spellEnd"/>
      <w:r>
        <w:rPr>
          <w:rFonts w:ascii="Arial" w:hAnsi="Arial"/>
          <w:sz w:val="20"/>
          <w:szCs w:val="20"/>
        </w:rPr>
        <w:t>)-</w:t>
      </w:r>
      <w:proofErr w:type="gramEnd"/>
      <w:r>
        <w:rPr>
          <w:rFonts w:ascii="Arial" w:hAnsi="Arial"/>
          <w:sz w:val="20"/>
          <w:szCs w:val="20"/>
        </w:rPr>
        <w:t>S pour les conduits garnis de 60 mm d’isolant, et El 60 (</w:t>
      </w:r>
      <w:proofErr w:type="spellStart"/>
      <w:r>
        <w:rPr>
          <w:rFonts w:ascii="Arial" w:hAnsi="Arial"/>
          <w:sz w:val="20"/>
          <w:szCs w:val="20"/>
        </w:rPr>
        <w:t>ve</w:t>
      </w:r>
      <w:proofErr w:type="spellEnd"/>
      <w:r>
        <w:rPr>
          <w:rFonts w:ascii="Arial" w:hAnsi="Arial"/>
          <w:sz w:val="20"/>
          <w:szCs w:val="20"/>
        </w:rPr>
        <w:t xml:space="preserve"> ho </w:t>
      </w:r>
      <w:proofErr w:type="spellStart"/>
      <w:r>
        <w:rPr>
          <w:rFonts w:ascii="Arial" w:hAnsi="Arial"/>
          <w:sz w:val="20"/>
          <w:szCs w:val="20"/>
        </w:rPr>
        <w:t>i↔o</w:t>
      </w:r>
      <w:proofErr w:type="spellEnd"/>
      <w:r>
        <w:rPr>
          <w:rFonts w:ascii="Arial" w:hAnsi="Arial"/>
          <w:sz w:val="20"/>
          <w:szCs w:val="20"/>
        </w:rPr>
        <w:t>)-S pour 80 mm d’isolant (durée de résistance au feu de 30 ou 60 minutes pour les conduits d’aération horizontaux et verticaux, que le feu soit situé à l’intérieur ou à l’extérieur du conduit, et étanchéité aux fumées).</w:t>
      </w:r>
    </w:p>
    <w:p w14:paraId="5413C240" w14:textId="77777777" w:rsidR="00EE6367" w:rsidRPr="00C72716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150FEB18" w14:textId="494CB5BB" w:rsidR="00E607E2" w:rsidRPr="00826D99" w:rsidRDefault="00655D6D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3. Propriétés thermiques</w:t>
      </w:r>
    </w:p>
    <w:p w14:paraId="1EBAA308" w14:textId="289573E3" w:rsidR="00C26912" w:rsidRPr="00826D99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Valeur λ de conductivité thermique selon la norme EN 12667 :</w:t>
      </w:r>
    </w:p>
    <w:p w14:paraId="4D559C03" w14:textId="77777777" w:rsidR="005B4DED" w:rsidRDefault="005B4DED" w:rsidP="005B4D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0,040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50 °C</w:t>
      </w:r>
    </w:p>
    <w:p w14:paraId="684EEC44" w14:textId="77777777" w:rsidR="005B4DED" w:rsidRDefault="005B4DED" w:rsidP="005B4D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0,046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100 °C</w:t>
      </w:r>
    </w:p>
    <w:p w14:paraId="36CAC9FD" w14:textId="3A9CD4D1" w:rsidR="005B4DED" w:rsidRDefault="005B4DED" w:rsidP="005B4D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0,06</w:t>
      </w:r>
      <w:r w:rsidR="004F767B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200 °C</w:t>
      </w:r>
    </w:p>
    <w:p w14:paraId="1CB3CE39" w14:textId="7A46ABA0" w:rsidR="005B4DED" w:rsidRDefault="004F767B" w:rsidP="005B4D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0,084</w:t>
      </w:r>
      <w:r w:rsidR="005B4DED">
        <w:rPr>
          <w:rFonts w:ascii="Arial" w:hAnsi="Arial"/>
          <w:sz w:val="20"/>
          <w:szCs w:val="20"/>
        </w:rPr>
        <w:t> W/(</w:t>
      </w:r>
      <w:proofErr w:type="spellStart"/>
      <w:r w:rsidR="005B4DED">
        <w:rPr>
          <w:rFonts w:ascii="Arial" w:hAnsi="Arial"/>
          <w:sz w:val="20"/>
          <w:szCs w:val="20"/>
        </w:rPr>
        <w:t>mK</w:t>
      </w:r>
      <w:proofErr w:type="spellEnd"/>
      <w:r w:rsidR="005B4DED">
        <w:rPr>
          <w:rFonts w:ascii="Arial" w:hAnsi="Arial"/>
          <w:sz w:val="20"/>
          <w:szCs w:val="20"/>
        </w:rPr>
        <w:t>) à 300 °C</w:t>
      </w:r>
    </w:p>
    <w:p w14:paraId="38FB15FB" w14:textId="77777777" w:rsidR="005B4DED" w:rsidRDefault="005B4DED" w:rsidP="005B4D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0,112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400 °C</w:t>
      </w:r>
    </w:p>
    <w:p w14:paraId="13871DA5" w14:textId="77777777" w:rsidR="005B4DED" w:rsidRDefault="005B4DED" w:rsidP="005B4D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0,146 W/(</w:t>
      </w:r>
      <w:proofErr w:type="spellStart"/>
      <w:r>
        <w:rPr>
          <w:rFonts w:ascii="Arial" w:hAnsi="Arial"/>
          <w:sz w:val="20"/>
          <w:szCs w:val="20"/>
        </w:rPr>
        <w:t>mK</w:t>
      </w:r>
      <w:proofErr w:type="spellEnd"/>
      <w:r>
        <w:rPr>
          <w:rFonts w:ascii="Arial" w:hAnsi="Arial"/>
          <w:sz w:val="20"/>
          <w:szCs w:val="20"/>
        </w:rPr>
        <w:t>) à 500 °C</w:t>
      </w:r>
    </w:p>
    <w:p w14:paraId="41890627" w14:textId="2686FFF2" w:rsidR="005B4DED" w:rsidRDefault="004F767B" w:rsidP="005B4D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0,190</w:t>
      </w:r>
      <w:bookmarkStart w:id="0" w:name="_GoBack"/>
      <w:bookmarkEnd w:id="0"/>
      <w:r w:rsidR="005B4DED">
        <w:rPr>
          <w:rFonts w:ascii="Arial" w:hAnsi="Arial"/>
          <w:sz w:val="20"/>
          <w:szCs w:val="20"/>
        </w:rPr>
        <w:t> W/(</w:t>
      </w:r>
      <w:proofErr w:type="spellStart"/>
      <w:r w:rsidR="005B4DED">
        <w:rPr>
          <w:rFonts w:ascii="Arial" w:hAnsi="Arial"/>
          <w:sz w:val="20"/>
          <w:szCs w:val="20"/>
        </w:rPr>
        <w:t>mK</w:t>
      </w:r>
      <w:proofErr w:type="spellEnd"/>
      <w:r w:rsidR="005B4DED">
        <w:rPr>
          <w:rFonts w:ascii="Arial" w:hAnsi="Arial"/>
          <w:sz w:val="20"/>
          <w:szCs w:val="20"/>
        </w:rPr>
        <w:t>) à 600 °C</w:t>
      </w:r>
    </w:p>
    <w:p w14:paraId="62A9AF1D" w14:textId="77777777" w:rsidR="00EE6367" w:rsidRPr="00826D99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2AFCC58" w14:textId="4700BAAF" w:rsidR="00E607E2" w:rsidRPr="00826D99" w:rsidRDefault="00655D6D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4. Produits chimiques</w:t>
      </w:r>
    </w:p>
    <w:p w14:paraId="43B52BBE" w14:textId="1B82A8BB" w:rsidR="00342E01" w:rsidRPr="00826D99" w:rsidRDefault="00C26912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Qualité AS selon EN 13468 : teneur en chlorures inférieure à 10 ppm.</w:t>
      </w:r>
    </w:p>
    <w:p w14:paraId="5DA6150C" w14:textId="77777777" w:rsidR="00655D6D" w:rsidRPr="00C72716" w:rsidRDefault="00655D6D" w:rsidP="00655D6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s-ES"/>
        </w:rPr>
      </w:pPr>
    </w:p>
    <w:p w14:paraId="36A83955" w14:textId="1FF25F7A" w:rsidR="00E607E2" w:rsidRPr="00826D99" w:rsidRDefault="00F1349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5. Tolérances dimensionnelles</w:t>
      </w:r>
    </w:p>
    <w:p w14:paraId="6EAC4F63" w14:textId="5D6DCD1B" w:rsidR="00E607E2" w:rsidRPr="00826D99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Classe de tolérances dimensionnelles : T2 selon la norme EN 14303.</w:t>
      </w:r>
    </w:p>
    <w:p w14:paraId="51C17E0E" w14:textId="77777777" w:rsidR="001F35C2" w:rsidRPr="00C72716" w:rsidRDefault="001F35C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s-ES"/>
        </w:rPr>
      </w:pPr>
    </w:p>
    <w:p w14:paraId="20C51D10" w14:textId="1CEB7A7E" w:rsidR="00C26912" w:rsidRPr="00826D99" w:rsidRDefault="00F1349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6. </w:t>
      </w:r>
      <w:r>
        <w:rPr>
          <w:rFonts w:ascii="Arial" w:hAnsi="Arial"/>
          <w:sz w:val="20"/>
          <w:szCs w:val="20"/>
        </w:rPr>
        <w:t>Autres critères</w:t>
      </w:r>
    </w:p>
    <w:p w14:paraId="2F40DCAD" w14:textId="25164024" w:rsidR="00677FC7" w:rsidRPr="007E38F7" w:rsidRDefault="007E38F7" w:rsidP="00677FC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Valeur µ du coefficient de résistance à la diffusion de vapeur d’eau selon la norme EN 14303 : µ = 1.</w:t>
      </w:r>
    </w:p>
    <w:p w14:paraId="1384CAE4" w14:textId="42301061" w:rsidR="00E607E2" w:rsidRPr="00826D99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Absorption de l’eau selon la norme EN 1609 : 1 kg/m² maximum.</w:t>
      </w:r>
    </w:p>
    <w:p w14:paraId="68684CF7" w14:textId="0787B0CF" w:rsidR="003E734E" w:rsidRPr="00826D99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Point de fusion des fibres selon la norme DIN 4102-17 : ≥ 1000 °C.</w:t>
      </w:r>
    </w:p>
    <w:p w14:paraId="7B9696D7" w14:textId="4E589514" w:rsidR="001D56D1" w:rsidRPr="00826D99" w:rsidRDefault="001D56D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Résistance au débit d’air longitudinal selon la norme EN 29053 : ≥ 40 </w:t>
      </w:r>
      <w:proofErr w:type="spellStart"/>
      <w:r>
        <w:rPr>
          <w:rFonts w:ascii="Arial" w:hAnsi="Arial"/>
          <w:color w:val="auto"/>
          <w:sz w:val="20"/>
          <w:szCs w:val="20"/>
        </w:rPr>
        <w:t>kPa∙s</w:t>
      </w:r>
      <w:proofErr w:type="spellEnd"/>
      <w:r>
        <w:rPr>
          <w:rFonts w:ascii="Arial" w:hAnsi="Arial"/>
          <w:color w:val="auto"/>
          <w:sz w:val="20"/>
          <w:szCs w:val="20"/>
        </w:rPr>
        <w:t>/m²</w:t>
      </w:r>
    </w:p>
    <w:p w14:paraId="045D8C28" w14:textId="77777777" w:rsidR="00C26912" w:rsidRPr="00C72716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s-ES"/>
        </w:rPr>
      </w:pPr>
    </w:p>
    <w:p w14:paraId="13D687A4" w14:textId="77777777" w:rsidR="0080327F" w:rsidRPr="00826D99" w:rsidRDefault="0080327F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Code d’identification EN :</w:t>
      </w:r>
    </w:p>
    <w:p w14:paraId="303E5DBD" w14:textId="0B96B376" w:rsidR="0080327F" w:rsidRPr="00826D99" w:rsidRDefault="009B7915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MW-EN14303-T2-WS1-CL10</w:t>
      </w:r>
    </w:p>
    <w:p w14:paraId="639EF067" w14:textId="77777777" w:rsidR="0080327F" w:rsidRPr="00826D99" w:rsidRDefault="0080327F" w:rsidP="00DC6C8F">
      <w:pPr>
        <w:jc w:val="both"/>
        <w:rPr>
          <w:rFonts w:ascii="Arial" w:hAnsi="Arial" w:cs="Arial"/>
          <w:lang w:val="de-DE"/>
        </w:rPr>
      </w:pPr>
    </w:p>
    <w:p w14:paraId="637989F7" w14:textId="77777777" w:rsidR="00E607E2" w:rsidRPr="00826D99" w:rsidRDefault="00E607E2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Dimensions standard :</w:t>
      </w:r>
    </w:p>
    <w:p w14:paraId="3EA27571" w14:textId="5511A59F" w:rsidR="00625C10" w:rsidRPr="00826D99" w:rsidRDefault="00825659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Longueur de la nappe grillagée : de 2000 à 6000 mm, en fonction de l’épaisseur.</w:t>
      </w:r>
    </w:p>
    <w:p w14:paraId="6B2D6965" w14:textId="6C37723C" w:rsidR="00EA68FD" w:rsidRDefault="00825659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Largeur de la nappe grillagée : 500, 900 ou 1000 </w:t>
      </w:r>
      <w:proofErr w:type="spellStart"/>
      <w:r>
        <w:rPr>
          <w:rFonts w:ascii="Arial" w:hAnsi="Arial"/>
          <w:sz w:val="20"/>
          <w:szCs w:val="20"/>
        </w:rPr>
        <w:t>mm.</w:t>
      </w:r>
      <w:proofErr w:type="spellEnd"/>
    </w:p>
    <w:p w14:paraId="3E06FFDA" w14:textId="13D7267B" w:rsidR="0030485E" w:rsidRPr="001F35C2" w:rsidRDefault="00825659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Épaisseur de la nappe grillagée : 60, 80 </w:t>
      </w:r>
      <w:proofErr w:type="spellStart"/>
      <w:r>
        <w:rPr>
          <w:rFonts w:ascii="Arial" w:hAnsi="Arial"/>
          <w:sz w:val="20"/>
          <w:szCs w:val="20"/>
        </w:rPr>
        <w:t>mm.</w:t>
      </w:r>
      <w:proofErr w:type="spellEnd"/>
    </w:p>
    <w:sectPr w:rsidR="0030485E" w:rsidRPr="001F35C2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BT-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6E"/>
    <w:rsid w:val="00002600"/>
    <w:rsid w:val="00132933"/>
    <w:rsid w:val="00146A35"/>
    <w:rsid w:val="001725E7"/>
    <w:rsid w:val="001D56D1"/>
    <w:rsid w:val="001F35C2"/>
    <w:rsid w:val="00201BCA"/>
    <w:rsid w:val="00233D5F"/>
    <w:rsid w:val="0027787A"/>
    <w:rsid w:val="002B6326"/>
    <w:rsid w:val="0030485E"/>
    <w:rsid w:val="003276BC"/>
    <w:rsid w:val="00342E01"/>
    <w:rsid w:val="00350131"/>
    <w:rsid w:val="003A57E2"/>
    <w:rsid w:val="003E6A76"/>
    <w:rsid w:val="003E734E"/>
    <w:rsid w:val="004E0D5B"/>
    <w:rsid w:val="004F5293"/>
    <w:rsid w:val="004F767B"/>
    <w:rsid w:val="005134B4"/>
    <w:rsid w:val="00543135"/>
    <w:rsid w:val="005B3BFD"/>
    <w:rsid w:val="005B4DED"/>
    <w:rsid w:val="005E0569"/>
    <w:rsid w:val="00625C10"/>
    <w:rsid w:val="0065437C"/>
    <w:rsid w:val="00655D6D"/>
    <w:rsid w:val="00677FC7"/>
    <w:rsid w:val="006934DE"/>
    <w:rsid w:val="006D54A3"/>
    <w:rsid w:val="006E01F9"/>
    <w:rsid w:val="0071676B"/>
    <w:rsid w:val="007D65AA"/>
    <w:rsid w:val="007E38F7"/>
    <w:rsid w:val="0080327F"/>
    <w:rsid w:val="00825659"/>
    <w:rsid w:val="00826D99"/>
    <w:rsid w:val="00831E05"/>
    <w:rsid w:val="00841A77"/>
    <w:rsid w:val="00852858"/>
    <w:rsid w:val="00882E60"/>
    <w:rsid w:val="008C22BE"/>
    <w:rsid w:val="008F57B0"/>
    <w:rsid w:val="00904367"/>
    <w:rsid w:val="009B099A"/>
    <w:rsid w:val="009B7915"/>
    <w:rsid w:val="009E29D8"/>
    <w:rsid w:val="00A17367"/>
    <w:rsid w:val="00A427D0"/>
    <w:rsid w:val="00A767AE"/>
    <w:rsid w:val="00AF40ED"/>
    <w:rsid w:val="00B134D3"/>
    <w:rsid w:val="00B31A99"/>
    <w:rsid w:val="00B90EE6"/>
    <w:rsid w:val="00B93A6E"/>
    <w:rsid w:val="00BC3155"/>
    <w:rsid w:val="00C26912"/>
    <w:rsid w:val="00C72716"/>
    <w:rsid w:val="00C7651D"/>
    <w:rsid w:val="00C86731"/>
    <w:rsid w:val="00CC3E36"/>
    <w:rsid w:val="00CF6D4E"/>
    <w:rsid w:val="00D066FA"/>
    <w:rsid w:val="00D52890"/>
    <w:rsid w:val="00D54CBE"/>
    <w:rsid w:val="00DC6C8F"/>
    <w:rsid w:val="00E607E2"/>
    <w:rsid w:val="00E9179A"/>
    <w:rsid w:val="00EA68FD"/>
    <w:rsid w:val="00EB6253"/>
    <w:rsid w:val="00EC7AB7"/>
    <w:rsid w:val="00EE6367"/>
    <w:rsid w:val="00F04B91"/>
    <w:rsid w:val="00F07E0A"/>
    <w:rsid w:val="00F13496"/>
    <w:rsid w:val="00F32272"/>
    <w:rsid w:val="00F4765F"/>
    <w:rsid w:val="00F8018E"/>
    <w:rsid w:val="00FA466D"/>
    <w:rsid w:val="00FB4C3C"/>
    <w:rsid w:val="00FC0344"/>
    <w:rsid w:val="00FC7F3B"/>
    <w:rsid w:val="00FE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6B483"/>
  <w15:docId w15:val="{E27C130F-88A1-499A-8F70-2B92F2C9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fr-FR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fr-FR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AF3B3F0DA4C41930F20C6C1E7D113" ma:contentTypeVersion="13" ma:contentTypeDescription="Create a new document." ma:contentTypeScope="" ma:versionID="957fde8b3bec6450fa408ed11c87b023">
  <xsd:schema xmlns:xsd="http://www.w3.org/2001/XMLSchema" xmlns:xs="http://www.w3.org/2001/XMLSchema" xmlns:p="http://schemas.microsoft.com/office/2006/metadata/properties" xmlns:ns2="b7af58e9-505c-4b6d-8d32-56fc896d3aa9" xmlns:ns3="urn:Knauf:SharePoint" targetNamespace="http://schemas.microsoft.com/office/2006/metadata/properties" ma:root="true" ma:fieldsID="6f0c409df3f31aa75df01455c1597c72" ns2:_="" ns3:_="">
    <xsd:import namespace="b7af58e9-505c-4b6d-8d32-56fc896d3aa9"/>
    <xsd:import namespace="urn:Knauf:SharePoint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Knauf.CompanyMulti.TaxHTField" minOccurs="0"/>
                <xsd:element ref="ns3:Knauf.CountryMulti.TaxHTField" minOccurs="0"/>
                <xsd:element ref="ns3:Knauf.DepartmentMulti.TaxHTField" minOccurs="0"/>
                <xsd:element ref="ns3:Knauf.LocationMulti.TaxHTField" minOccurs="0"/>
                <xsd:element ref="ns3:Knauf.RegionMulti.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f58e9-505c-4b6d-8d32-56fc896d3aa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f2ca994e-af34-4201-b48a-8ed6c626547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Colonna per tutti i valori di tassonomia" ma:hidden="true" ma:list="{6295c353-a2b0-4206-a035-0a084e6dfe8d}" ma:internalName="TaxCatchAll" ma:showField="CatchAllData" ma:web="b7af58e9-505c-4b6d-8d32-56fc896d3a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urn:Knauf:SharePoint" elementFormDefault="qualified">
    <xsd:import namespace="http://schemas.microsoft.com/office/2006/documentManagement/types"/>
    <xsd:import namespace="http://schemas.microsoft.com/office/infopath/2007/PartnerControls"/>
    <xsd:element name="Knauf.CompanyMulti.TaxHTField" ma:index="12" nillable="true" ma:taxonomy="true" ma:internalName="knCompanyMultiTaxHTField" ma:taxonomyFieldName="knCompanyMulti" ma:displayName="Company" ma:fieldId="{51549ae3-83f2-4407-9b38-0056973c0dd0}" ma:taxonomyMulti="true" ma:sspId="f2ca994e-af34-4201-b48a-8ed6c6265478" ma:termSetId="7cc8d493-7f4e-4371-aeaa-45177294c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CountryMulti.TaxHTField" ma:index="14" nillable="true" ma:taxonomy="true" ma:internalName="knCountryMultiTaxHTField" ma:taxonomyFieldName="knCountryMulti" ma:displayName="Country" ma:fieldId="{97296cf0-f310-45c1-bbd7-7b93f99a9146}" ma:taxonomyMulti="true" ma:sspId="f2ca994e-af34-4201-b48a-8ed6c6265478" ma:termSetId="ca559cce-198a-40c2-96e1-840d5f1c9a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DepartmentMulti.TaxHTField" ma:index="16" nillable="true" ma:taxonomy="true" ma:internalName="knDepartmentMultiTaxHTField" ma:taxonomyFieldName="knDepartmentMulti" ma:displayName="Department" ma:fieldId="{03b6a289-0f23-476d-b92f-fe2ad907be73}" ma:taxonomyMulti="true" ma:sspId="f2ca994e-af34-4201-b48a-8ed6c6265478" ma:termSetId="21f8ccb5-3c74-4827-8616-35309b17aa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LocationMulti.TaxHTField" ma:index="18" nillable="true" ma:taxonomy="true" ma:internalName="knLocationMultiTaxHTField" ma:taxonomyFieldName="knLocationMulti" ma:displayName="Location" ma:fieldId="{ae9346f5-ef99-4e26-af31-06e8db55e8e6}" ma:taxonomyMulti="true" ma:sspId="f2ca994e-af34-4201-b48a-8ed6c6265478" ma:termSetId="725dbfc8-dd29-4c2d-b817-6854c5178c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RegionMulti.TaxHTField" ma:index="20" nillable="true" ma:taxonomy="true" ma:internalName="knRegionMultiTaxHTField" ma:taxonomyFieldName="knRegionMulti" ma:displayName="Region" ma:fieldId="{b671f407-eca4-4ecc-b463-966934f7a0d5}" ma:taxonomyMulti="true" ma:sspId="f2ca994e-af34-4201-b48a-8ed6c6265478" ma:termSetId="2346fd2d-d692-4cd0-8191-a5c51d2376c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nauf.CountryMulti.TaxHTField xmlns="urn:Knauf:SharePoint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Italy</TermName>
          <TermId xmlns="http://schemas.microsoft.com/office/infopath/2007/PartnerControls">7e84769a-95b3-4c7f-9719-6041df0294bc</TermId>
        </TermInfo>
      </Terms>
    </Knauf.CountryMulti.TaxHTField>
    <Knauf.CompanyMulti.TaxHTField xmlns="urn:Knauf:SharePoint">
      <Terms xmlns="http://schemas.microsoft.com/office/infopath/2007/PartnerControls">
        <TermInfo xmlns="http://schemas.microsoft.com/office/infopath/2007/PartnerControls">
          <TermName xmlns="http://schemas.microsoft.com/office/infopath/2007/PartnerControls">Knauf Insulation SPA</TermName>
          <TermId xmlns="http://schemas.microsoft.com/office/infopath/2007/PartnerControls">6cbcd044-9ad2-4b37-8761-ac56592db8c9</TermId>
        </TermInfo>
      </Terms>
    </Knauf.CompanyMulti.TaxHTField>
    <Knauf.RegionMulti.TaxHTField xmlns="urn:Knauf:SharePoint">
      <Terms xmlns="http://schemas.microsoft.com/office/infopath/2007/PartnerControls">
        <TermInfo xmlns="http://schemas.microsoft.com/office/infopath/2007/PartnerControls">
          <TermName xmlns="http://schemas.microsoft.com/office/infopath/2007/PartnerControls">KIWE</TermName>
          <TermId xmlns="http://schemas.microsoft.com/office/infopath/2007/PartnerControls">b6c6d346-9485-4b29-88f7-5e4a6f4a1c3a</TermId>
        </TermInfo>
      </Terms>
    </Knauf.RegionMulti.TaxHTField>
    <TaxCatchAll xmlns="b7af58e9-505c-4b6d-8d32-56fc896d3aa9">
      <Value>3</Value>
      <Value>2</Value>
      <Value>1</Value>
    </TaxCatchAll>
    <TaxKeywordTaxHTField xmlns="b7af58e9-505c-4b6d-8d32-56fc896d3aa9">
      <Terms xmlns="http://schemas.microsoft.com/office/infopath/2007/PartnerControls"/>
    </TaxKeywordTaxHTField>
    <Knauf.LocationMulti.TaxHTField xmlns="urn:Knauf:SharePoint">
      <Terms xmlns="http://schemas.microsoft.com/office/infopath/2007/PartnerControls"/>
    </Knauf.LocationMulti.TaxHTField>
    <Knauf.DepartmentMulti.TaxHTField xmlns="urn:Knauf:SharePoint">
      <Terms xmlns="http://schemas.microsoft.com/office/infopath/2007/PartnerControls"/>
    </Knauf.DepartmentMulti.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053EA-8DF3-432B-9F84-C70322E439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39F79-E09C-41A7-8579-0280C9C5A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f58e9-505c-4b6d-8d32-56fc896d3aa9"/>
    <ds:schemaRef ds:uri="urn:Knauf:SharePoint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9DF7D0-5C27-4D90-9D4F-D4F4A4182D4B}">
  <ds:schemaRefs>
    <ds:schemaRef ds:uri="http://schemas.microsoft.com/office/2006/metadata/properties"/>
    <ds:schemaRef ds:uri="http://schemas.microsoft.com/office/infopath/2007/PartnerControls"/>
    <ds:schemaRef ds:uri="urn:Knauf:SharePoint"/>
    <ds:schemaRef ds:uri="b7af58e9-505c-4b6d-8d32-56fc896d3aa9"/>
  </ds:schemaRefs>
</ds:datastoreItem>
</file>

<file path=customXml/itemProps4.xml><?xml version="1.0" encoding="utf-8"?>
<ds:datastoreItem xmlns:ds="http://schemas.openxmlformats.org/officeDocument/2006/customXml" ds:itemID="{24862591-B42E-4A48-AD93-F7099D24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</cp:lastModifiedBy>
  <cp:revision>24</cp:revision>
  <dcterms:created xsi:type="dcterms:W3CDTF">2018-01-31T13:37:00Z</dcterms:created>
  <dcterms:modified xsi:type="dcterms:W3CDTF">2021-02-04T13:30:00Z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0x010100F88AF3B3F0DA4C41930F20C6C1E7D113</vt:lpwstr>
  </property>
  <property fmtid="{D5CDD505-2E9C-101B-9397-08002B2CF9AE}" pid="3" name="TaxKeyword">
    <vt:lpwstr/>
  </property>
  <property fmtid="{D5CDD505-2E9C-101B-9397-08002B2CF9AE}" pid="4" name="knCountryMulti">
    <vt:lpwstr>2;#Italy|7e84769a-95b3-4c7f-9719-6041df0294bc</vt:lpwstr>
  </property>
  <property fmtid="{D5CDD505-2E9C-101B-9397-08002B2CF9AE}" pid="5" name="knLocationMulti">
    <vt:lpwstr/>
  </property>
  <property fmtid="{D5CDD505-2E9C-101B-9397-08002B2CF9AE}" pid="6" name="knCompanyMulti">
    <vt:lpwstr>1;#Knauf Insulation SPA|6cbcd044-9ad2-4b37-8761-ac56592db8c9</vt:lpwstr>
  </property>
  <property fmtid="{D5CDD505-2E9C-101B-9397-08002B2CF9AE}" pid="7" name="knDepartmentMulti">
    <vt:lpwstr/>
  </property>
  <property fmtid="{D5CDD505-2E9C-101B-9397-08002B2CF9AE}" pid="8" name="knRegionMulti">
    <vt:lpwstr>3;#KIWE|b6c6d346-9485-4b29-88f7-5e4a6f4a1c3a</vt:lpwstr>
  </property>
</Properties>
</file>