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1CA33E8B" w:rsidR="006D54A3" w:rsidRDefault="006D54A3" w:rsidP="00B93A6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PIPE </w:t>
      </w:r>
      <w:r w:rsidR="005D20F6">
        <w:rPr>
          <w:rFonts w:ascii="Arial" w:hAnsi="Arial" w:cs="Arial"/>
          <w:b/>
          <w:color w:val="auto"/>
          <w:sz w:val="20"/>
          <w:szCs w:val="20"/>
          <w:lang w:val="en-GB"/>
        </w:rPr>
        <w:t>SECTIONS</w:t>
      </w:r>
    </w:p>
    <w:p w14:paraId="05B8C7E8" w14:textId="65A43291" w:rsidR="00B93A6E" w:rsidRPr="00B93A6E" w:rsidRDefault="00B93A6E" w:rsidP="00B93A6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>KNAUF INSULATION THERMO-TEK PS PRO ALU</w:t>
      </w:r>
    </w:p>
    <w:p w14:paraId="1CD9CCA6" w14:textId="77777777" w:rsidR="003276BC" w:rsidRPr="00B93A6E" w:rsidRDefault="003276BC">
      <w:pPr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70517CAA" w:rsidR="00B93A6E" w:rsidRDefault="00EA68FD" w:rsidP="00B93A6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Circular wound m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ineral wool p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ipe </w:t>
      </w:r>
      <w:r w:rsidR="005D20F6">
        <w:rPr>
          <w:rFonts w:ascii="Arial" w:hAnsi="Arial" w:cs="Arial"/>
          <w:color w:val="auto"/>
          <w:sz w:val="20"/>
          <w:szCs w:val="20"/>
          <w:lang w:val="en-GB"/>
        </w:rPr>
        <w:t>section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996E78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heating and 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>water pipes.</w:t>
      </w:r>
    </w:p>
    <w:p w14:paraId="1FA769CA" w14:textId="65BB3650" w:rsidR="00B93A6E" w:rsidRPr="00943F46" w:rsidRDefault="00B93A6E" w:rsidP="0080327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pipe </w:t>
      </w:r>
      <w:r w:rsidR="005D20F6">
        <w:rPr>
          <w:rFonts w:ascii="Arial" w:hAnsi="Arial" w:cs="Arial"/>
          <w:color w:val="auto"/>
          <w:sz w:val="20"/>
          <w:szCs w:val="20"/>
          <w:lang w:val="en-GB"/>
        </w:rPr>
        <w:t>section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FC2F3F" w14:textId="043EEECF" w:rsidR="00B93A6E" w:rsidRPr="00B93A6E" w:rsidRDefault="00B93A6E" w:rsidP="002E0714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pipe </w:t>
      </w:r>
      <w:r w:rsidR="005D20F6">
        <w:rPr>
          <w:rFonts w:ascii="Arial" w:hAnsi="Arial" w:cs="Arial"/>
          <w:color w:val="auto"/>
          <w:sz w:val="20"/>
          <w:szCs w:val="20"/>
          <w:lang w:val="en-GB"/>
        </w:rPr>
        <w:t>section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shall have a</w:t>
      </w:r>
      <w:r w:rsidR="002E0714">
        <w:rPr>
          <w:lang w:val="en-GB"/>
        </w:rPr>
        <w:t xml:space="preserve">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glass-fibre reinforced aluminium foil.</w:t>
      </w:r>
    </w:p>
    <w:p w14:paraId="12AD4D9F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B93A6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0C8876B" w14:textId="6169F441" w:rsidR="00B93A6E" w:rsidRDefault="00C60982" w:rsidP="00B93A6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Wound and ground mineral wool pipe section with high-precision shape, faced with tear-resistant glass fibre reinforced aluminium</w:t>
      </w:r>
      <w:r w:rsidR="00CA4A9F">
        <w:rPr>
          <w:rFonts w:ascii="Arial" w:hAnsi="Arial" w:cs="Arial"/>
          <w:sz w:val="20"/>
          <w:szCs w:val="20"/>
          <w:lang w:val="en-GB"/>
        </w:rPr>
        <w:t xml:space="preserve"> foil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0A29C5" w:rsidRPr="000A29C5">
        <w:rPr>
          <w:rFonts w:ascii="Arial" w:hAnsi="Arial" w:cs="Arial"/>
          <w:color w:val="auto"/>
          <w:sz w:val="20"/>
          <w:szCs w:val="20"/>
          <w:lang w:val="en-GB"/>
        </w:rPr>
        <w:t xml:space="preserve">The mineral wool pipe section shall use a mainly bio-based binder, e.g. </w:t>
      </w:r>
      <w:proofErr w:type="spellStart"/>
      <w:r w:rsidR="000A29C5" w:rsidRPr="000A29C5">
        <w:rPr>
          <w:rFonts w:ascii="Arial" w:hAnsi="Arial" w:cs="Arial"/>
          <w:color w:val="auto"/>
          <w:sz w:val="20"/>
          <w:szCs w:val="20"/>
          <w:lang w:val="en-GB"/>
        </w:rPr>
        <w:t>Ecose</w:t>
      </w:r>
      <w:proofErr w:type="spellEnd"/>
      <w:r w:rsidR="000A29C5" w:rsidRPr="000A29C5">
        <w:rPr>
          <w:rFonts w:ascii="Arial" w:hAnsi="Arial" w:cs="Arial"/>
          <w:color w:val="auto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 </w:t>
      </w:r>
      <w:r w:rsidR="00EE6367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To facilitate the installation on the pipe, the pipe </w:t>
      </w:r>
      <w:r w:rsidR="005D20F6">
        <w:rPr>
          <w:rFonts w:ascii="Arial" w:hAnsi="Arial" w:cs="Arial"/>
          <w:color w:val="auto"/>
          <w:sz w:val="20"/>
          <w:szCs w:val="20"/>
          <w:lang w:val="en-GB"/>
        </w:rPr>
        <w:t>section</w:t>
      </w:r>
      <w:r w:rsidR="00EE6367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E6367">
        <w:rPr>
          <w:rFonts w:ascii="Arial" w:hAnsi="Arial" w:cs="Arial"/>
          <w:color w:val="auto"/>
          <w:sz w:val="20"/>
          <w:szCs w:val="20"/>
          <w:lang w:val="en-GB"/>
        </w:rPr>
        <w:t>shall have</w:t>
      </w:r>
      <w:r w:rsidR="00EE6367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a slight slit on the side opposite to the longitudinal opening. The longitudinal seam </w:t>
      </w:r>
      <w:proofErr w:type="gramStart"/>
      <w:r w:rsidR="00DA5896">
        <w:rPr>
          <w:rFonts w:ascii="Arial" w:hAnsi="Arial" w:cs="Arial"/>
          <w:color w:val="auto"/>
          <w:sz w:val="20"/>
          <w:szCs w:val="20"/>
          <w:lang w:val="en-GB"/>
        </w:rPr>
        <w:t>shall</w:t>
      </w:r>
      <w:r w:rsidR="00EE6367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be closed</w:t>
      </w:r>
      <w:proofErr w:type="gramEnd"/>
      <w:r w:rsidR="00EE6367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with </w:t>
      </w:r>
      <w:r w:rsidR="00EE6367">
        <w:rPr>
          <w:rFonts w:ascii="Arial" w:hAnsi="Arial" w:cs="Arial"/>
          <w:color w:val="auto"/>
          <w:sz w:val="20"/>
          <w:szCs w:val="20"/>
          <w:lang w:val="en-GB"/>
        </w:rPr>
        <w:t>a</w:t>
      </w:r>
      <w:r w:rsidR="00EE6367"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 self-adhesive overlap</w:t>
      </w:r>
      <w:r w:rsidR="00EE6367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80004A3" w14:textId="77777777" w:rsidR="00B93A6E" w:rsidRPr="00943F46" w:rsidRDefault="00B93A6E" w:rsidP="00B93A6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E607E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93D0130" w14:textId="44E13C6D" w:rsidR="00E607E2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Eurofins</w:t>
      </w:r>
    </w:p>
    <w:p w14:paraId="54635817" w14:textId="77777777" w:rsidR="00EE6367" w:rsidRDefault="00EE6367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02375967" w14:textId="77777777" w:rsidR="00EE6367" w:rsidRPr="00943F46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6D7F3D" w14:textId="7568E000" w:rsidR="00E607E2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2.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04A4FC4F" w14:textId="6481CBDB" w:rsidR="004F5293" w:rsidRDefault="00E607E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pipe </w:t>
      </w:r>
      <w:r w:rsidR="005D20F6">
        <w:rPr>
          <w:rFonts w:ascii="Arial" w:hAnsi="Arial" w:cs="Arial"/>
          <w:color w:val="auto"/>
          <w:sz w:val="20"/>
          <w:szCs w:val="20"/>
          <w:lang w:val="en-GB"/>
        </w:rPr>
        <w:t>section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shall be 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>EN 13501-1:</w:t>
      </w:r>
      <w:r w:rsidR="00EE6367">
        <w:rPr>
          <w:rFonts w:ascii="Arial" w:hAnsi="Arial" w:cs="Arial"/>
          <w:color w:val="auto"/>
          <w:sz w:val="20"/>
          <w:szCs w:val="20"/>
          <w:lang w:val="en-GB"/>
        </w:rPr>
        <w:tab/>
      </w:r>
    </w:p>
    <w:p w14:paraId="23B71132" w14:textId="4F4AAEBF" w:rsidR="00E607E2" w:rsidRDefault="00E607E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607E2">
        <w:rPr>
          <w:rFonts w:ascii="Arial" w:hAnsi="Arial" w:cs="Arial"/>
          <w:color w:val="auto"/>
          <w:sz w:val="20"/>
          <w:szCs w:val="20"/>
          <w:lang w:val="en-GB"/>
        </w:rPr>
        <w:t>A2</w:t>
      </w:r>
      <w:r w:rsidRPr="00E607E2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L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-s1, d0 for </w:t>
      </w:r>
      <w:r>
        <w:rPr>
          <w:rFonts w:ascii="Arial" w:hAnsi="Arial" w:cs="Arial"/>
          <w:color w:val="auto"/>
          <w:sz w:val="20"/>
          <w:szCs w:val="20"/>
          <w:lang w:val="en-GB"/>
        </w:rPr>
        <w:t>external diameter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≤</w:t>
      </w: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 300 mm</w:t>
      </w:r>
    </w:p>
    <w:p w14:paraId="411B60F6" w14:textId="5823AB02" w:rsidR="00E607E2" w:rsidRDefault="00E607E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A2-s1, d0 for 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>external diameter &gt; 300 mm</w:t>
      </w:r>
    </w:p>
    <w:p w14:paraId="5263A73D" w14:textId="1D5C247A" w:rsidR="00E607E2" w:rsidRDefault="00EE6367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f</w:t>
      </w:r>
      <w:r w:rsidRPr="00EE6367">
        <w:rPr>
          <w:rFonts w:ascii="Arial" w:hAnsi="Arial" w:cs="Arial"/>
          <w:color w:val="auto"/>
          <w:sz w:val="20"/>
          <w:szCs w:val="20"/>
          <w:lang w:val="en-GB"/>
        </w:rPr>
        <w:t>ire resistance according to EN 13501-2</w:t>
      </w:r>
      <w:r w:rsidR="003E734E">
        <w:rPr>
          <w:rFonts w:ascii="Arial" w:hAnsi="Arial" w:cs="Arial"/>
          <w:color w:val="auto"/>
          <w:sz w:val="20"/>
          <w:szCs w:val="20"/>
          <w:lang w:val="en-GB"/>
        </w:rPr>
        <w:t xml:space="preserve"> has to be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EE6367">
        <w:rPr>
          <w:rFonts w:ascii="Arial" w:hAnsi="Arial" w:cs="Arial"/>
          <w:color w:val="auto"/>
          <w:sz w:val="20"/>
          <w:szCs w:val="20"/>
          <w:lang w:val="en-GB"/>
        </w:rPr>
        <w:t xml:space="preserve">EI </w:t>
      </w:r>
      <w:r w:rsidR="003E734E">
        <w:rPr>
          <w:rFonts w:ascii="Arial" w:hAnsi="Arial" w:cs="Arial"/>
          <w:color w:val="auto"/>
          <w:sz w:val="20"/>
          <w:szCs w:val="20"/>
          <w:lang w:val="en-GB"/>
        </w:rPr>
        <w:t>12</w:t>
      </w:r>
      <w:r w:rsidRPr="00EE6367">
        <w:rPr>
          <w:rFonts w:ascii="Arial" w:hAnsi="Arial" w:cs="Arial"/>
          <w:color w:val="auto"/>
          <w:sz w:val="20"/>
          <w:szCs w:val="20"/>
          <w:lang w:val="en-GB"/>
        </w:rPr>
        <w:t>0 for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walls/ceilings seals</w:t>
      </w:r>
      <w:r w:rsidR="002E071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413C240" w14:textId="77777777" w:rsidR="00EE6367" w:rsidRPr="00943F46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52B3DEF6" w:rsidR="00E607E2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3.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61164B97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ISO 8497:</w:t>
      </w:r>
    </w:p>
    <w:p w14:paraId="50FBEBF1" w14:textId="407C7806" w:rsidR="005E0569" w:rsidRPr="005E0569" w:rsidRDefault="005E0569" w:rsidP="004F5293">
      <w:pPr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0,033 W</w:t>
      </w:r>
      <w:proofErr w:type="gramStart"/>
      <w:r w:rsidRPr="005E0569">
        <w:rPr>
          <w:rFonts w:ascii="Arial" w:hAnsi="Arial" w:cs="Arial"/>
          <w:sz w:val="20"/>
          <w:szCs w:val="20"/>
          <w:lang w:val="en-US"/>
        </w:rPr>
        <w:t>/</w:t>
      </w:r>
      <w:r w:rsidR="00F10B0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End"/>
      <w:r w:rsidR="00F10B01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10B01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10 °C</w:t>
      </w:r>
    </w:p>
    <w:p w14:paraId="40922237" w14:textId="4957FE87" w:rsidR="00532CE3" w:rsidRPr="005E0569" w:rsidRDefault="00532CE3" w:rsidP="00532CE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0,035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 4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6B9768D2" w14:textId="0A28EF1C" w:rsidR="005E0569" w:rsidRPr="005E0569" w:rsidRDefault="005E0569" w:rsidP="004F5293">
      <w:pPr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0,037 W/</w:t>
      </w:r>
      <w:r w:rsidR="00F10B0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10B01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10B01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50 °C</w:t>
      </w:r>
    </w:p>
    <w:p w14:paraId="2A9D2C30" w14:textId="764ADC0E" w:rsidR="005E0569" w:rsidRPr="005E0569" w:rsidRDefault="005E0569" w:rsidP="004F5293">
      <w:pPr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0,044 W/</w:t>
      </w:r>
      <w:r w:rsidR="00F10B0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10B01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10B01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100</w:t>
      </w:r>
      <w:r w:rsidR="00DD36F7">
        <w:rPr>
          <w:rFonts w:ascii="Arial" w:hAnsi="Arial" w:cs="Arial"/>
          <w:sz w:val="20"/>
          <w:szCs w:val="20"/>
          <w:lang w:val="en-US"/>
        </w:rPr>
        <w:t xml:space="preserve"> </w:t>
      </w:r>
      <w:r w:rsidRPr="005E0569">
        <w:rPr>
          <w:rFonts w:ascii="Arial" w:hAnsi="Arial" w:cs="Arial"/>
          <w:sz w:val="20"/>
          <w:szCs w:val="20"/>
          <w:lang w:val="en-US"/>
        </w:rPr>
        <w:t>°C</w:t>
      </w:r>
    </w:p>
    <w:p w14:paraId="6AB4F67E" w14:textId="724C89F1" w:rsidR="005E0569" w:rsidRPr="005E0569" w:rsidRDefault="005E0569" w:rsidP="004F5293">
      <w:pPr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0,052 W/</w:t>
      </w:r>
      <w:r w:rsidR="00F10B0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10B01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10B01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150 °C</w:t>
      </w:r>
    </w:p>
    <w:p w14:paraId="3B611D6F" w14:textId="7295B7FD" w:rsidR="005E0569" w:rsidRPr="005E0569" w:rsidRDefault="00322216" w:rsidP="004F529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0,062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F10B0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F10B01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10B01">
        <w:rPr>
          <w:rFonts w:ascii="Arial" w:hAnsi="Arial" w:cs="Arial"/>
          <w:sz w:val="20"/>
          <w:szCs w:val="20"/>
          <w:lang w:val="en-US"/>
        </w:rPr>
        <w:t>)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5E0569" w:rsidRPr="005E0569">
        <w:rPr>
          <w:rFonts w:ascii="Arial" w:hAnsi="Arial" w:cs="Arial"/>
          <w:sz w:val="20"/>
          <w:szCs w:val="20"/>
          <w:lang w:val="en-US"/>
        </w:rPr>
        <w:t xml:space="preserve"> 200 °C</w:t>
      </w:r>
    </w:p>
    <w:p w14:paraId="17B3071D" w14:textId="141618CE" w:rsidR="005E0569" w:rsidRPr="005E0569" w:rsidRDefault="005E0569" w:rsidP="004F5293">
      <w:pPr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0,073 W</w:t>
      </w:r>
      <w:proofErr w:type="gramStart"/>
      <w:r w:rsidRPr="005E0569">
        <w:rPr>
          <w:rFonts w:ascii="Arial" w:hAnsi="Arial" w:cs="Arial"/>
          <w:sz w:val="20"/>
          <w:szCs w:val="20"/>
          <w:lang w:val="en-US"/>
        </w:rPr>
        <w:t>/</w:t>
      </w:r>
      <w:r w:rsidR="00F10B0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proofErr w:type="gramEnd"/>
      <w:r w:rsidR="00F10B01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F10B01">
        <w:rPr>
          <w:rFonts w:ascii="Arial" w:hAnsi="Arial" w:cs="Arial"/>
          <w:sz w:val="20"/>
          <w:szCs w:val="20"/>
          <w:lang w:val="en-US"/>
        </w:rPr>
        <w:t>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250 °C</w:t>
      </w:r>
    </w:p>
    <w:p w14:paraId="50D3A68F" w14:textId="2F703D5F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</w:t>
      </w:r>
      <w:proofErr w:type="gramStart"/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is </w:t>
      </w:r>
      <w:r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d</w:t>
      </w:r>
      <w:proofErr w:type="gramEnd"/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according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 EN 14707 and shall be </w:t>
      </w:r>
      <w:r w:rsidRPr="00943F46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43F46">
        <w:rPr>
          <w:rFonts w:ascii="Arial" w:hAnsi="Arial" w:cs="Arial"/>
          <w:color w:val="auto"/>
          <w:sz w:val="20"/>
          <w:szCs w:val="20"/>
          <w:lang w:val="en-GB"/>
        </w:rPr>
        <w:br/>
      </w:r>
      <w:r>
        <w:rPr>
          <w:rFonts w:ascii="Arial" w:hAnsi="Arial" w:cs="Arial"/>
          <w:color w:val="auto"/>
          <w:sz w:val="20"/>
          <w:szCs w:val="20"/>
          <w:lang w:val="en-GB"/>
        </w:rPr>
        <w:t>500 °C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2A9AF1D" w14:textId="77777777" w:rsidR="00EE6367" w:rsidRPr="00943F46" w:rsidRDefault="00EE6367" w:rsidP="005E0569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37FC49C8" w:rsidR="00E607E2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4.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D3F1985" w14:textId="4C5AB4B1" w:rsidR="00C2691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AS quality, according to EN 13468: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D383A16" w14:textId="77777777" w:rsidR="001F35C2" w:rsidRPr="00943F46" w:rsidRDefault="001F35C2" w:rsidP="005E056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5A119045" w:rsidR="00E607E2" w:rsidRDefault="005E0569" w:rsidP="005E056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5.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F04513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35F6BD20" w:rsidR="00E607E2" w:rsidRDefault="00E607E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F04513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5D20F6">
        <w:rPr>
          <w:rFonts w:ascii="Arial" w:hAnsi="Arial" w:cs="Arial"/>
          <w:color w:val="auto"/>
          <w:sz w:val="20"/>
          <w:szCs w:val="20"/>
          <w:lang w:val="en-GB"/>
        </w:rPr>
        <w:t xml:space="preserve"> tolerance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T8 for pipes &lt; 150 mm and T</w:t>
      </w:r>
      <w:r>
        <w:rPr>
          <w:rFonts w:ascii="Arial" w:hAnsi="Arial" w:cs="Arial"/>
          <w:color w:val="auto"/>
          <w:sz w:val="20"/>
          <w:szCs w:val="20"/>
          <w:lang w:val="en-GB"/>
        </w:rPr>
        <w:t>9 for pipes ≥ 150 mm external diameter according to EN 14303.</w:t>
      </w:r>
    </w:p>
    <w:p w14:paraId="51C17E0E" w14:textId="77777777" w:rsidR="001F35C2" w:rsidRPr="00943F46" w:rsidRDefault="001F35C2" w:rsidP="005E056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FC030F1" w14:textId="77777777" w:rsidR="00943F46" w:rsidRPr="00943F46" w:rsidRDefault="00943F46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43F46">
        <w:rPr>
          <w:rFonts w:ascii="Arial" w:hAnsi="Arial" w:cs="Arial"/>
          <w:color w:val="auto"/>
          <w:sz w:val="20"/>
          <w:szCs w:val="20"/>
          <w:lang w:val="en-GB"/>
        </w:rPr>
        <w:t>6. Other certifications</w:t>
      </w:r>
    </w:p>
    <w:p w14:paraId="1B22660B" w14:textId="779F3E84" w:rsidR="00943F46" w:rsidRPr="00943F46" w:rsidRDefault="00943F46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43F46">
        <w:rPr>
          <w:rFonts w:ascii="Arial" w:hAnsi="Arial" w:cs="Arial"/>
          <w:color w:val="auto"/>
          <w:sz w:val="20"/>
          <w:szCs w:val="20"/>
          <w:lang w:val="en-GB"/>
        </w:rPr>
        <w:t>RAL certification</w:t>
      </w:r>
      <w:r>
        <w:rPr>
          <w:rFonts w:ascii="Arial" w:hAnsi="Arial" w:cs="Arial"/>
          <w:color w:val="auto"/>
          <w:sz w:val="20"/>
          <w:szCs w:val="20"/>
          <w:lang w:val="en-GB"/>
        </w:rPr>
        <w:t>; M1 classification</w:t>
      </w:r>
      <w:r w:rsidR="0003646E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1B17B55" w14:textId="77777777" w:rsidR="00943F46" w:rsidRPr="00943F46" w:rsidRDefault="00943F46" w:rsidP="00943F46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B644869" w14:textId="60D51C5B" w:rsidR="00943F46" w:rsidRDefault="00943F46" w:rsidP="00943F46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943F46">
        <w:rPr>
          <w:rFonts w:ascii="Arial" w:hAnsi="Arial" w:cs="Arial"/>
          <w:color w:val="auto"/>
          <w:sz w:val="20"/>
          <w:szCs w:val="20"/>
          <w:lang w:val="en-GB"/>
        </w:rPr>
        <w:t>7. Other requirements</w:t>
      </w:r>
    </w:p>
    <w:p w14:paraId="617C6772" w14:textId="09DF8D32" w:rsidR="00B879AD" w:rsidRDefault="00B879AD" w:rsidP="00B879A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equivalent air layer thickness, according to </w:t>
      </w:r>
      <w:r w:rsidR="0051617F" w:rsidRPr="0051617F">
        <w:rPr>
          <w:rFonts w:ascii="Arial" w:hAnsi="Arial" w:cs="Arial"/>
          <w:sz w:val="20"/>
          <w:szCs w:val="20"/>
          <w:lang w:val="en-US"/>
        </w:rPr>
        <w:t>EN 13469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16"/>
          <w:szCs w:val="16"/>
          <w:lang w:val="en-US"/>
        </w:rPr>
        <w:t>d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E4010" w:rsidRPr="00C26912">
        <w:rPr>
          <w:rFonts w:ascii="Arial" w:hAnsi="Arial" w:cs="Arial"/>
          <w:color w:val="auto"/>
          <w:sz w:val="20"/>
          <w:szCs w:val="20"/>
          <w:lang w:val="en-GB"/>
        </w:rPr>
        <w:t>≥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D65B7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00 m</w:t>
      </w:r>
      <w:r>
        <w:rPr>
          <w:rFonts w:ascii="Arial" w:hAnsi="Arial" w:cs="Arial"/>
          <w:color w:val="auto"/>
          <w:sz w:val="20"/>
          <w:szCs w:val="20"/>
          <w:lang w:val="en-US"/>
        </w:rPr>
        <w:t>.</w:t>
      </w:r>
    </w:p>
    <w:p w14:paraId="1384CAE4" w14:textId="236B85A3" w:rsidR="00E607E2" w:rsidRDefault="00C26912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Water a</w:t>
      </w:r>
      <w:r w:rsidR="008078F9">
        <w:rPr>
          <w:rFonts w:ascii="Arial" w:hAnsi="Arial" w:cs="Arial"/>
          <w:color w:val="auto"/>
          <w:sz w:val="20"/>
          <w:szCs w:val="20"/>
          <w:lang w:val="en-GB"/>
        </w:rPr>
        <w:t>bsorption, according to EN 13472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5142A6CB" w:rsidR="003E734E" w:rsidRDefault="003E734E" w:rsidP="004F529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943F46" w:rsidRDefault="00C26912" w:rsidP="00E607E2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80327F" w:rsidRDefault="0080327F" w:rsidP="0080327F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0327F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proofErr w:type="spellStart"/>
      <w:r w:rsidRPr="0080327F">
        <w:rPr>
          <w:rFonts w:ascii="Arial" w:hAnsi="Arial" w:cs="Arial"/>
          <w:b/>
          <w:sz w:val="20"/>
          <w:szCs w:val="20"/>
          <w:lang w:val="de-DE"/>
        </w:rPr>
        <w:t>designation</w:t>
      </w:r>
      <w:proofErr w:type="spellEnd"/>
      <w:r w:rsidRPr="0080327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0327F">
        <w:rPr>
          <w:rFonts w:ascii="Arial" w:hAnsi="Arial" w:cs="Arial"/>
          <w:b/>
          <w:sz w:val="20"/>
          <w:szCs w:val="20"/>
          <w:lang w:val="de-DE"/>
        </w:rPr>
        <w:t>code</w:t>
      </w:r>
      <w:proofErr w:type="spellEnd"/>
      <w:r w:rsidRPr="0080327F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281E5F65" w14:textId="0570CB97" w:rsidR="0080327F" w:rsidRPr="00943F46" w:rsidRDefault="0080327F" w:rsidP="0080327F">
      <w:pPr>
        <w:rPr>
          <w:rFonts w:ascii="Arial" w:hAnsi="Arial" w:cs="Arial"/>
          <w:sz w:val="20"/>
          <w:szCs w:val="20"/>
          <w:lang w:val="de-DE"/>
        </w:rPr>
      </w:pPr>
      <w:r w:rsidRPr="00943F46">
        <w:rPr>
          <w:rFonts w:ascii="Arial" w:hAnsi="Arial" w:cs="Arial"/>
          <w:sz w:val="20"/>
          <w:szCs w:val="20"/>
          <w:lang w:val="de-DE"/>
        </w:rPr>
        <w:t>MW-EN14303-T8-</w:t>
      </w:r>
      <w:proofErr w:type="gramStart"/>
      <w:r w:rsidRPr="00943F46">
        <w:rPr>
          <w:rFonts w:ascii="Arial" w:hAnsi="Arial" w:cs="Arial"/>
          <w:sz w:val="20"/>
          <w:szCs w:val="20"/>
          <w:lang w:val="de-DE"/>
        </w:rPr>
        <w:t>ST(</w:t>
      </w:r>
      <w:proofErr w:type="gramEnd"/>
      <w:r w:rsidRPr="00943F46">
        <w:rPr>
          <w:rFonts w:ascii="Arial" w:hAnsi="Arial" w:cs="Arial"/>
          <w:sz w:val="20"/>
          <w:szCs w:val="20"/>
          <w:lang w:val="de-DE"/>
        </w:rPr>
        <w:t>+)500-WS1-MV</w:t>
      </w:r>
      <w:r w:rsidR="005D65B7">
        <w:rPr>
          <w:rFonts w:ascii="Arial" w:hAnsi="Arial" w:cs="Arial"/>
          <w:sz w:val="20"/>
          <w:szCs w:val="20"/>
          <w:lang w:val="de-DE"/>
        </w:rPr>
        <w:t>2</w:t>
      </w:r>
      <w:r w:rsidRPr="00943F46">
        <w:rPr>
          <w:rFonts w:ascii="Arial" w:hAnsi="Arial" w:cs="Arial"/>
          <w:sz w:val="20"/>
          <w:szCs w:val="20"/>
          <w:lang w:val="de-DE"/>
        </w:rPr>
        <w:t>-CL10 (</w:t>
      </w:r>
      <w:proofErr w:type="spellStart"/>
      <w:r w:rsidRPr="00943F46">
        <w:rPr>
          <w:rFonts w:ascii="Arial" w:hAnsi="Arial" w:cs="Arial"/>
          <w:sz w:val="20"/>
          <w:szCs w:val="20"/>
          <w:lang w:val="de-DE"/>
        </w:rPr>
        <w:t>external</w:t>
      </w:r>
      <w:proofErr w:type="spellEnd"/>
      <w:r w:rsidRPr="00943F4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43F46">
        <w:rPr>
          <w:rFonts w:ascii="Arial" w:hAnsi="Arial" w:cs="Arial"/>
          <w:sz w:val="20"/>
          <w:szCs w:val="20"/>
          <w:lang w:val="de-DE"/>
        </w:rPr>
        <w:t>diameter</w:t>
      </w:r>
      <w:proofErr w:type="spellEnd"/>
      <w:r w:rsidRPr="00943F46">
        <w:rPr>
          <w:rFonts w:ascii="Arial" w:hAnsi="Arial" w:cs="Arial"/>
          <w:sz w:val="20"/>
          <w:szCs w:val="20"/>
          <w:lang w:val="de-DE"/>
        </w:rPr>
        <w:t xml:space="preserve"> &lt; 150 mm)</w:t>
      </w:r>
    </w:p>
    <w:p w14:paraId="303E5DBD" w14:textId="332C3434" w:rsidR="0080327F" w:rsidRPr="00943F46" w:rsidRDefault="0080327F" w:rsidP="0080327F">
      <w:pPr>
        <w:rPr>
          <w:rFonts w:ascii="Arial" w:hAnsi="Arial" w:cs="Arial"/>
          <w:sz w:val="20"/>
          <w:szCs w:val="20"/>
          <w:lang w:val="de-DE"/>
        </w:rPr>
      </w:pPr>
      <w:r w:rsidRPr="00943F46">
        <w:rPr>
          <w:rFonts w:ascii="Arial" w:hAnsi="Arial" w:cs="Arial"/>
          <w:sz w:val="20"/>
          <w:szCs w:val="20"/>
          <w:lang w:val="de-DE"/>
        </w:rPr>
        <w:t>MW-EN14303-T9-ST(+)500-WS1-MV</w:t>
      </w:r>
      <w:r w:rsidR="005D65B7">
        <w:rPr>
          <w:rFonts w:ascii="Arial" w:hAnsi="Arial" w:cs="Arial"/>
          <w:sz w:val="20"/>
          <w:szCs w:val="20"/>
          <w:lang w:val="de-DE"/>
        </w:rPr>
        <w:t>2</w:t>
      </w:r>
      <w:r w:rsidRPr="00943F46">
        <w:rPr>
          <w:rFonts w:ascii="Arial" w:hAnsi="Arial" w:cs="Arial"/>
          <w:sz w:val="20"/>
          <w:szCs w:val="20"/>
          <w:lang w:val="de-DE"/>
        </w:rPr>
        <w:t>-CL10 (</w:t>
      </w:r>
      <w:proofErr w:type="spellStart"/>
      <w:r w:rsidRPr="00943F46">
        <w:rPr>
          <w:rFonts w:ascii="Arial" w:hAnsi="Arial" w:cs="Arial"/>
          <w:sz w:val="20"/>
          <w:szCs w:val="20"/>
          <w:lang w:val="de-DE"/>
        </w:rPr>
        <w:t>external</w:t>
      </w:r>
      <w:proofErr w:type="spellEnd"/>
      <w:r w:rsidRPr="00943F4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43F46">
        <w:rPr>
          <w:rFonts w:ascii="Arial" w:hAnsi="Arial" w:cs="Arial"/>
          <w:sz w:val="20"/>
          <w:szCs w:val="20"/>
          <w:lang w:val="de-DE"/>
        </w:rPr>
        <w:t>diameter</w:t>
      </w:r>
      <w:proofErr w:type="spellEnd"/>
      <w:r w:rsidRPr="00943F46">
        <w:rPr>
          <w:rFonts w:ascii="Arial" w:hAnsi="Arial" w:cs="Arial"/>
          <w:sz w:val="20"/>
          <w:szCs w:val="20"/>
          <w:lang w:val="de-DE"/>
        </w:rPr>
        <w:t xml:space="preserve"> ≥ 150 mm)</w:t>
      </w:r>
    </w:p>
    <w:p w14:paraId="639EF067" w14:textId="77777777" w:rsidR="0080327F" w:rsidRPr="00943F46" w:rsidRDefault="0080327F" w:rsidP="0080327F">
      <w:pPr>
        <w:rPr>
          <w:rFonts w:ascii="Arial" w:hAnsi="Arial" w:cs="Arial"/>
          <w:sz w:val="12"/>
          <w:szCs w:val="12"/>
          <w:lang w:val="de-DE"/>
        </w:rPr>
      </w:pPr>
    </w:p>
    <w:p w14:paraId="637989F7" w14:textId="77777777" w:rsidR="00E607E2" w:rsidRPr="00B93A6E" w:rsidRDefault="00E607E2" w:rsidP="00E607E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77777777" w:rsidR="00625C10" w:rsidRDefault="00625C10" w:rsidP="00EE636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Pipe section length</w:t>
      </w:r>
      <w:r w:rsidR="00E607E2" w:rsidRPr="00B93A6E">
        <w:rPr>
          <w:rFonts w:ascii="Arial" w:hAnsi="Arial" w:cs="Arial"/>
          <w:sz w:val="20"/>
          <w:szCs w:val="20"/>
          <w:lang w:val="en-GB"/>
        </w:rPr>
        <w:t xml:space="preserve"> shall be 1200 mm.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B2D6965" w14:textId="627378C4" w:rsidR="00EA68FD" w:rsidRDefault="00CF6D4E" w:rsidP="00EE636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Pipe section </w:t>
      </w:r>
      <w:r w:rsidR="00E607E2">
        <w:rPr>
          <w:rFonts w:ascii="Arial" w:hAnsi="Arial" w:cs="Arial"/>
          <w:sz w:val="20"/>
          <w:szCs w:val="20"/>
          <w:lang w:val="en-GB"/>
        </w:rPr>
        <w:t xml:space="preserve">internal diameter shall be </w:t>
      </w:r>
      <w:r w:rsidR="00F8018E">
        <w:rPr>
          <w:rFonts w:ascii="Arial" w:hAnsi="Arial" w:cs="Arial"/>
          <w:sz w:val="20"/>
          <w:szCs w:val="20"/>
          <w:lang w:val="en-GB"/>
        </w:rPr>
        <w:t>between 15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324 mm </w:t>
      </w:r>
      <w:r w:rsidR="004F5293">
        <w:rPr>
          <w:rFonts w:ascii="Arial" w:hAnsi="Arial" w:cs="Arial"/>
          <w:sz w:val="20"/>
          <w:szCs w:val="20"/>
          <w:lang w:val="en-GB"/>
        </w:rPr>
        <w:t>according</w:t>
      </w:r>
      <w:r>
        <w:rPr>
          <w:rFonts w:ascii="Arial" w:hAnsi="Arial" w:cs="Arial"/>
          <w:sz w:val="20"/>
          <w:szCs w:val="20"/>
          <w:lang w:val="en-GB"/>
        </w:rPr>
        <w:t xml:space="preserve"> to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the pipe outside dimension. </w:t>
      </w:r>
    </w:p>
    <w:p w14:paraId="3E06FFDA" w14:textId="263AB053" w:rsidR="0030485E" w:rsidRPr="001F35C2" w:rsidRDefault="00CF6D4E" w:rsidP="001F35C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Pipe section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thickness shall </w:t>
      </w:r>
      <w:proofErr w:type="gramStart"/>
      <w:r w:rsidR="00E607E2">
        <w:rPr>
          <w:rFonts w:ascii="Arial" w:hAnsi="Arial" w:cs="Arial"/>
          <w:sz w:val="20"/>
          <w:szCs w:val="20"/>
          <w:lang w:val="en-GB"/>
        </w:rPr>
        <w:t>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 w:rsidR="00F8018E">
        <w:rPr>
          <w:rFonts w:ascii="Arial" w:hAnsi="Arial" w:cs="Arial"/>
          <w:sz w:val="20"/>
          <w:szCs w:val="20"/>
          <w:lang w:val="en-GB"/>
        </w:rPr>
        <w:t xml:space="preserve">20, 25, 30, 40, 50, 60, 70, 80, 90, 100, </w:t>
      </w:r>
      <w:r w:rsidR="00F8018E" w:rsidRPr="002E0714">
        <w:rPr>
          <w:rFonts w:ascii="Arial" w:hAnsi="Arial" w:cs="Arial"/>
          <w:sz w:val="20"/>
          <w:szCs w:val="20"/>
          <w:lang w:val="en-GB"/>
        </w:rPr>
        <w:t>120</w:t>
      </w:r>
      <w:r w:rsidR="00F8018E">
        <w:rPr>
          <w:rFonts w:ascii="Arial" w:hAnsi="Arial" w:cs="Arial"/>
          <w:sz w:val="20"/>
          <w:szCs w:val="20"/>
          <w:lang w:val="en-GB"/>
        </w:rPr>
        <w:t xml:space="preserve"> mm</w:t>
      </w:r>
      <w:r>
        <w:rPr>
          <w:rFonts w:ascii="Arial" w:hAnsi="Arial" w:cs="Arial"/>
          <w:sz w:val="20"/>
          <w:szCs w:val="20"/>
          <w:lang w:val="en-GB"/>
        </w:rPr>
        <w:t>.</w:t>
      </w:r>
    </w:p>
    <w:sectPr w:rsidR="0030485E" w:rsidRPr="001F35C2" w:rsidSect="00EE4010">
      <w:pgSz w:w="11907" w:h="16839" w:code="9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E"/>
    <w:rsid w:val="00002600"/>
    <w:rsid w:val="0003646E"/>
    <w:rsid w:val="00081DD3"/>
    <w:rsid w:val="000A29C5"/>
    <w:rsid w:val="001F35C2"/>
    <w:rsid w:val="00201BCA"/>
    <w:rsid w:val="00233D5F"/>
    <w:rsid w:val="002E0714"/>
    <w:rsid w:val="0030485E"/>
    <w:rsid w:val="00322216"/>
    <w:rsid w:val="003276BC"/>
    <w:rsid w:val="003A57E2"/>
    <w:rsid w:val="003E734E"/>
    <w:rsid w:val="004F3527"/>
    <w:rsid w:val="004F5293"/>
    <w:rsid w:val="0051617F"/>
    <w:rsid w:val="00532CE3"/>
    <w:rsid w:val="005B3BFD"/>
    <w:rsid w:val="005D20F6"/>
    <w:rsid w:val="005D65B7"/>
    <w:rsid w:val="005E0569"/>
    <w:rsid w:val="00625C10"/>
    <w:rsid w:val="0065437C"/>
    <w:rsid w:val="006D54A3"/>
    <w:rsid w:val="006E01F9"/>
    <w:rsid w:val="006E1C7C"/>
    <w:rsid w:val="0080327F"/>
    <w:rsid w:val="008078F9"/>
    <w:rsid w:val="00817C07"/>
    <w:rsid w:val="00831E05"/>
    <w:rsid w:val="00904367"/>
    <w:rsid w:val="0090746F"/>
    <w:rsid w:val="00943F46"/>
    <w:rsid w:val="00996E78"/>
    <w:rsid w:val="009B099A"/>
    <w:rsid w:val="00A427D0"/>
    <w:rsid w:val="00A767AE"/>
    <w:rsid w:val="00B177D8"/>
    <w:rsid w:val="00B31A99"/>
    <w:rsid w:val="00B879AD"/>
    <w:rsid w:val="00B93A6E"/>
    <w:rsid w:val="00BC3155"/>
    <w:rsid w:val="00C26912"/>
    <w:rsid w:val="00C60982"/>
    <w:rsid w:val="00C7651D"/>
    <w:rsid w:val="00CA4A9F"/>
    <w:rsid w:val="00CC3E36"/>
    <w:rsid w:val="00CC7D10"/>
    <w:rsid w:val="00CF6D4E"/>
    <w:rsid w:val="00D066FA"/>
    <w:rsid w:val="00D54CBE"/>
    <w:rsid w:val="00DA5896"/>
    <w:rsid w:val="00DD36F7"/>
    <w:rsid w:val="00E607E2"/>
    <w:rsid w:val="00E755F4"/>
    <w:rsid w:val="00EA68FD"/>
    <w:rsid w:val="00EB6253"/>
    <w:rsid w:val="00EE4010"/>
    <w:rsid w:val="00EE6367"/>
    <w:rsid w:val="00F04513"/>
    <w:rsid w:val="00F10B01"/>
    <w:rsid w:val="00F4765F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0E9D2EE7-B572-49CA-A531-047DFE1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AF3B3F0DA4C41930F20C6C1E7D113" ma:contentTypeVersion="13" ma:contentTypeDescription="Ein neues Dokument erstellen." ma:contentTypeScope="" ma:versionID="c9b28504cba9d4ffa6bb28511ea4756f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4292164ebe0910cbac77cc5b38ab540c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Firma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Land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Abteilung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Standort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Italien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FE2B-AD89-4758-965A-679E02AA7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64D82-82D3-43FD-AC3D-AF36CB395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3D135-2C15-46C3-AD4C-8796FB739C7C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customXml/itemProps4.xml><?xml version="1.0" encoding="utf-8"?>
<ds:datastoreItem xmlns:ds="http://schemas.openxmlformats.org/officeDocument/2006/customXml" ds:itemID="{E489899C-E9A2-44B6-AD69-0D1DE109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Thermo-teK PS PRO ALU_English specification</vt:lpstr>
      <vt:lpstr/>
    </vt:vector>
  </TitlesOfParts>
  <Company>Knauf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Thermo-teK PS PRO ALU_English specification</dc:title>
  <dc:creator>Laura Raggi</dc:creator>
  <cp:keywords/>
  <cp:lastModifiedBy>Tavcar Cernjak, Natasa</cp:lastModifiedBy>
  <cp:revision>37</cp:revision>
  <dcterms:created xsi:type="dcterms:W3CDTF">2018-01-13T17:53:00Z</dcterms:created>
  <dcterms:modified xsi:type="dcterms:W3CDTF">2019-11-28T13:30:00Z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2;#Italien|7e84769a-95b3-4c7f-9719-6041df0294bc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